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E1D" w:rsidRDefault="004D2E1D" w:rsidP="004D2E1D">
      <w:pPr>
        <w:spacing w:before="247"/>
        <w:ind w:left="2618" w:right="195" w:hanging="1136"/>
        <w:rPr>
          <w:color w:val="221F1F"/>
          <w:sz w:val="28"/>
        </w:rPr>
      </w:pPr>
    </w:p>
    <w:p w:rsidR="004D2E1D" w:rsidRDefault="004D2E1D" w:rsidP="004D2E1D">
      <w:pPr>
        <w:spacing w:before="247"/>
        <w:ind w:left="2618" w:right="195" w:hanging="1136"/>
        <w:rPr>
          <w:color w:val="221F1F"/>
          <w:sz w:val="28"/>
        </w:rPr>
      </w:pPr>
      <w:r>
        <w:rPr>
          <w:rFonts w:ascii="Times New Roman"/>
          <w:noProof/>
          <w:sz w:val="20"/>
        </w:rPr>
        <w:drawing>
          <wp:inline distT="0" distB="0" distL="0" distR="0" wp14:anchorId="621C96B4" wp14:editId="7DCE72F2">
            <wp:extent cx="1821986" cy="66274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821986" cy="662749"/>
                    </a:xfrm>
                    <a:prstGeom prst="rect">
                      <a:avLst/>
                    </a:prstGeom>
                  </pic:spPr>
                </pic:pic>
              </a:graphicData>
            </a:graphic>
          </wp:inline>
        </w:drawing>
      </w:r>
    </w:p>
    <w:p w:rsidR="004D2E1D" w:rsidRDefault="004D2E1D" w:rsidP="004D2E1D">
      <w:pPr>
        <w:spacing w:before="247"/>
        <w:ind w:left="2621" w:right="202" w:hanging="1987"/>
        <w:contextualSpacing/>
        <w:rPr>
          <w:color w:val="221F1F"/>
          <w:sz w:val="28"/>
        </w:rPr>
      </w:pPr>
    </w:p>
    <w:p w:rsidR="004D2E1D" w:rsidRDefault="004D2E1D" w:rsidP="004D2E1D">
      <w:pPr>
        <w:spacing w:before="247"/>
        <w:ind w:left="1440" w:right="202" w:hanging="806"/>
        <w:contextualSpacing/>
        <w:rPr>
          <w:rFonts w:ascii="Arial" w:hAnsi="Arial" w:cs="Arial"/>
          <w:color w:val="221F1F"/>
          <w:sz w:val="28"/>
        </w:rPr>
      </w:pPr>
      <w:r w:rsidRPr="004D2E1D">
        <w:rPr>
          <w:rFonts w:ascii="Arial" w:hAnsi="Arial" w:cs="Arial"/>
          <w:color w:val="221F1F"/>
          <w:sz w:val="28"/>
        </w:rPr>
        <w:t>DISADVANTAGED BUSINESS ENTERPRISE</w:t>
      </w:r>
      <w:r>
        <w:rPr>
          <w:rFonts w:ascii="Arial" w:hAnsi="Arial" w:cs="Arial"/>
          <w:color w:val="221F1F"/>
          <w:sz w:val="28"/>
        </w:rPr>
        <w:t xml:space="preserve"> </w:t>
      </w:r>
      <w:r w:rsidRPr="004D2E1D">
        <w:rPr>
          <w:rFonts w:ascii="Arial" w:hAnsi="Arial" w:cs="Arial"/>
          <w:color w:val="221F1F"/>
          <w:sz w:val="28"/>
        </w:rPr>
        <w:t xml:space="preserve">(DBE) </w:t>
      </w:r>
    </w:p>
    <w:p w:rsidR="004D2E1D" w:rsidRPr="004D2E1D" w:rsidRDefault="004D2E1D" w:rsidP="004D2E1D">
      <w:pPr>
        <w:spacing w:before="247"/>
        <w:ind w:left="1440" w:right="202" w:hanging="806"/>
        <w:contextualSpacing/>
        <w:rPr>
          <w:rFonts w:ascii="Arial" w:hAnsi="Arial" w:cs="Arial"/>
          <w:sz w:val="28"/>
        </w:rPr>
      </w:pPr>
      <w:r w:rsidRPr="004D2E1D">
        <w:rPr>
          <w:rFonts w:ascii="Arial" w:hAnsi="Arial" w:cs="Arial"/>
          <w:color w:val="221F1F"/>
          <w:sz w:val="28"/>
        </w:rPr>
        <w:t>PROGRAM POLICY STATEMENT</w:t>
      </w:r>
    </w:p>
    <w:p w:rsidR="004D2E1D" w:rsidRDefault="004D2E1D" w:rsidP="004D2E1D">
      <w:pPr>
        <w:pStyle w:val="BodyText"/>
        <w:rPr>
          <w:sz w:val="44"/>
        </w:rPr>
      </w:pPr>
    </w:p>
    <w:p w:rsidR="004D2E1D" w:rsidRDefault="004D2E1D" w:rsidP="004D2E1D">
      <w:pPr>
        <w:pStyle w:val="BodyText"/>
        <w:ind w:left="100" w:right="195"/>
      </w:pPr>
      <w:r>
        <w:rPr>
          <w:color w:val="221F1F"/>
        </w:rPr>
        <w:t>The Volusia County Transit, d.b.a. Votran, a service of Volusia County Government has established a Disadvantaged Business Enterprise (DBE) program in accordance with regulations of the U.S. Department of Transportation (DOT), 49 CFR Part 26. As a recipient of Federal financial assistance from the Department of Transportation and as a condition of receiving this assistance, Votran has signed an assurance that it will comply with 49 CFR Part 26.</w:t>
      </w:r>
    </w:p>
    <w:p w:rsidR="004D2E1D" w:rsidRDefault="004D2E1D" w:rsidP="004D2E1D">
      <w:pPr>
        <w:pStyle w:val="BodyText"/>
        <w:spacing w:before="1"/>
      </w:pPr>
    </w:p>
    <w:p w:rsidR="004D2E1D" w:rsidRDefault="004D2E1D" w:rsidP="004D2E1D">
      <w:pPr>
        <w:pStyle w:val="BodyText"/>
        <w:spacing w:before="1"/>
        <w:ind w:left="100" w:right="591"/>
      </w:pPr>
      <w:r>
        <w:rPr>
          <w:color w:val="221F1F"/>
        </w:rPr>
        <w:t>It is the policy of Votran to ensure that DBEs as defined in part 26, have an equal opportunity to receive and participate in DOT assisted contracts.</w:t>
      </w:r>
    </w:p>
    <w:p w:rsidR="004D2E1D" w:rsidRDefault="004D2E1D" w:rsidP="004D2E1D">
      <w:pPr>
        <w:pStyle w:val="BodyText"/>
        <w:spacing w:before="9"/>
        <w:rPr>
          <w:sz w:val="20"/>
        </w:rPr>
      </w:pPr>
    </w:p>
    <w:p w:rsidR="004D2E1D" w:rsidRDefault="004D2E1D" w:rsidP="004D2E1D">
      <w:pPr>
        <w:pStyle w:val="BodyText"/>
        <w:ind w:left="100"/>
      </w:pPr>
      <w:r>
        <w:rPr>
          <w:color w:val="221F1F"/>
        </w:rPr>
        <w:t>It is also our policy:</w:t>
      </w:r>
    </w:p>
    <w:p w:rsidR="004D2E1D" w:rsidRDefault="004D2E1D" w:rsidP="004D2E1D">
      <w:pPr>
        <w:pStyle w:val="BodyText"/>
        <w:spacing w:before="2"/>
      </w:pPr>
    </w:p>
    <w:p w:rsidR="004D2E1D" w:rsidRDefault="004D2E1D" w:rsidP="004D2E1D">
      <w:pPr>
        <w:pStyle w:val="ListParagraph"/>
        <w:numPr>
          <w:ilvl w:val="0"/>
          <w:numId w:val="1"/>
        </w:numPr>
        <w:tabs>
          <w:tab w:val="left" w:pos="821"/>
        </w:tabs>
        <w:spacing w:line="241" w:lineRule="exact"/>
        <w:rPr>
          <w:sz w:val="21"/>
        </w:rPr>
      </w:pPr>
      <w:r>
        <w:rPr>
          <w:color w:val="221F1F"/>
          <w:sz w:val="21"/>
        </w:rPr>
        <w:t>To ensure nondiscrimination in the award and administration of DOT assisted</w:t>
      </w:r>
      <w:r>
        <w:rPr>
          <w:color w:val="221F1F"/>
          <w:spacing w:val="-21"/>
          <w:sz w:val="21"/>
        </w:rPr>
        <w:t xml:space="preserve"> </w:t>
      </w:r>
      <w:r>
        <w:rPr>
          <w:color w:val="221F1F"/>
          <w:sz w:val="21"/>
        </w:rPr>
        <w:t>contracts;</w:t>
      </w:r>
    </w:p>
    <w:p w:rsidR="004D2E1D" w:rsidRDefault="004D2E1D" w:rsidP="004D2E1D">
      <w:pPr>
        <w:pStyle w:val="ListParagraph"/>
        <w:numPr>
          <w:ilvl w:val="0"/>
          <w:numId w:val="1"/>
        </w:numPr>
        <w:tabs>
          <w:tab w:val="left" w:pos="821"/>
        </w:tabs>
        <w:spacing w:line="241" w:lineRule="exact"/>
        <w:rPr>
          <w:sz w:val="21"/>
        </w:rPr>
      </w:pPr>
      <w:r>
        <w:rPr>
          <w:color w:val="221F1F"/>
          <w:sz w:val="21"/>
        </w:rPr>
        <w:t>To create a level playing field on which DBEs can compete fairly for DOT-assisted</w:t>
      </w:r>
      <w:r>
        <w:rPr>
          <w:color w:val="221F1F"/>
          <w:spacing w:val="-27"/>
          <w:sz w:val="21"/>
        </w:rPr>
        <w:t xml:space="preserve"> </w:t>
      </w:r>
      <w:r>
        <w:rPr>
          <w:color w:val="221F1F"/>
          <w:sz w:val="21"/>
        </w:rPr>
        <w:t>contracts;</w:t>
      </w:r>
    </w:p>
    <w:p w:rsidR="004D2E1D" w:rsidRDefault="004D2E1D" w:rsidP="004D2E1D">
      <w:pPr>
        <w:pStyle w:val="ListParagraph"/>
        <w:numPr>
          <w:ilvl w:val="0"/>
          <w:numId w:val="1"/>
        </w:numPr>
        <w:tabs>
          <w:tab w:val="left" w:pos="821"/>
        </w:tabs>
        <w:spacing w:before="1"/>
        <w:rPr>
          <w:sz w:val="21"/>
        </w:rPr>
      </w:pPr>
      <w:r>
        <w:rPr>
          <w:color w:val="221F1F"/>
          <w:sz w:val="21"/>
        </w:rPr>
        <w:t>To ensure that the DBE Program is narrowly tailored in accordance with applicable</w:t>
      </w:r>
      <w:r>
        <w:rPr>
          <w:color w:val="221F1F"/>
          <w:spacing w:val="-25"/>
          <w:sz w:val="21"/>
        </w:rPr>
        <w:t xml:space="preserve"> </w:t>
      </w:r>
      <w:r>
        <w:rPr>
          <w:color w:val="221F1F"/>
          <w:sz w:val="21"/>
        </w:rPr>
        <w:t>law;</w:t>
      </w:r>
    </w:p>
    <w:p w:rsidR="004D2E1D" w:rsidRDefault="004D2E1D" w:rsidP="004D2E1D">
      <w:pPr>
        <w:pStyle w:val="ListParagraph"/>
        <w:numPr>
          <w:ilvl w:val="0"/>
          <w:numId w:val="1"/>
        </w:numPr>
        <w:tabs>
          <w:tab w:val="left" w:pos="821"/>
        </w:tabs>
        <w:spacing w:before="1"/>
        <w:ind w:right="178"/>
        <w:rPr>
          <w:sz w:val="21"/>
        </w:rPr>
      </w:pPr>
      <w:r>
        <w:rPr>
          <w:color w:val="221F1F"/>
          <w:sz w:val="21"/>
        </w:rPr>
        <w:t>To ensure that only firms that fully meet 49 CFR Part 26 eligibility standards are permitted to participate as</w:t>
      </w:r>
      <w:r>
        <w:rPr>
          <w:color w:val="221F1F"/>
          <w:spacing w:val="-3"/>
          <w:sz w:val="21"/>
        </w:rPr>
        <w:t xml:space="preserve"> </w:t>
      </w:r>
      <w:r>
        <w:rPr>
          <w:color w:val="221F1F"/>
          <w:sz w:val="21"/>
        </w:rPr>
        <w:t>DBEs;</w:t>
      </w:r>
    </w:p>
    <w:p w:rsidR="004D2E1D" w:rsidRDefault="004D2E1D" w:rsidP="004D2E1D">
      <w:pPr>
        <w:pStyle w:val="ListParagraph"/>
        <w:numPr>
          <w:ilvl w:val="0"/>
          <w:numId w:val="1"/>
        </w:numPr>
        <w:tabs>
          <w:tab w:val="left" w:pos="821"/>
        </w:tabs>
        <w:ind w:right="450"/>
        <w:rPr>
          <w:sz w:val="21"/>
        </w:rPr>
      </w:pPr>
      <w:r>
        <w:rPr>
          <w:color w:val="221F1F"/>
          <w:sz w:val="21"/>
        </w:rPr>
        <w:t>To help remove barriers to the participation of DBEs and Small Business in DOT assisted contracts;</w:t>
      </w:r>
    </w:p>
    <w:p w:rsidR="004D2E1D" w:rsidRDefault="004D2E1D" w:rsidP="004D2E1D">
      <w:pPr>
        <w:pStyle w:val="ListParagraph"/>
        <w:numPr>
          <w:ilvl w:val="0"/>
          <w:numId w:val="1"/>
        </w:numPr>
        <w:tabs>
          <w:tab w:val="left" w:pos="821"/>
        </w:tabs>
        <w:ind w:right="481"/>
        <w:rPr>
          <w:sz w:val="21"/>
        </w:rPr>
      </w:pPr>
      <w:r>
        <w:rPr>
          <w:color w:val="221F1F"/>
          <w:sz w:val="21"/>
        </w:rPr>
        <w:t>To promote the use of DBEs in all types of Federally-assisted contracts and procurement activities.</w:t>
      </w:r>
    </w:p>
    <w:p w:rsidR="004D2E1D" w:rsidRDefault="004D2E1D" w:rsidP="004D2E1D">
      <w:pPr>
        <w:pStyle w:val="ListParagraph"/>
        <w:numPr>
          <w:ilvl w:val="0"/>
          <w:numId w:val="1"/>
        </w:numPr>
        <w:tabs>
          <w:tab w:val="left" w:pos="821"/>
        </w:tabs>
        <w:ind w:right="110"/>
        <w:rPr>
          <w:sz w:val="21"/>
        </w:rPr>
      </w:pPr>
      <w:r>
        <w:rPr>
          <w:color w:val="221F1F"/>
          <w:sz w:val="21"/>
        </w:rPr>
        <w:t>To assist the development of firms that can compete successfully in the market place outside the DBE</w:t>
      </w:r>
      <w:r>
        <w:rPr>
          <w:color w:val="221F1F"/>
          <w:spacing w:val="-3"/>
          <w:sz w:val="21"/>
        </w:rPr>
        <w:t xml:space="preserve"> </w:t>
      </w:r>
      <w:r>
        <w:rPr>
          <w:color w:val="221F1F"/>
          <w:sz w:val="21"/>
        </w:rPr>
        <w:t>Program.</w:t>
      </w:r>
    </w:p>
    <w:p w:rsidR="004D2E1D" w:rsidRDefault="004D2E1D" w:rsidP="004D2E1D">
      <w:pPr>
        <w:pStyle w:val="ListParagraph"/>
        <w:numPr>
          <w:ilvl w:val="0"/>
          <w:numId w:val="1"/>
        </w:numPr>
        <w:tabs>
          <w:tab w:val="left" w:pos="821"/>
        </w:tabs>
        <w:ind w:right="254"/>
        <w:rPr>
          <w:sz w:val="21"/>
        </w:rPr>
      </w:pPr>
      <w:r>
        <w:rPr>
          <w:color w:val="221F1F"/>
          <w:sz w:val="21"/>
        </w:rPr>
        <w:t>To provide appropriate flexibility to recipients of Federal financial assistance in</w:t>
      </w:r>
      <w:r>
        <w:rPr>
          <w:color w:val="221F1F"/>
          <w:spacing w:val="-35"/>
          <w:sz w:val="21"/>
        </w:rPr>
        <w:t xml:space="preserve"> </w:t>
      </w:r>
      <w:r>
        <w:rPr>
          <w:color w:val="221F1F"/>
          <w:sz w:val="21"/>
        </w:rPr>
        <w:t>establishing, and providing opportunities to</w:t>
      </w:r>
      <w:r>
        <w:rPr>
          <w:color w:val="221F1F"/>
          <w:spacing w:val="-4"/>
          <w:sz w:val="21"/>
        </w:rPr>
        <w:t xml:space="preserve"> </w:t>
      </w:r>
      <w:r>
        <w:rPr>
          <w:color w:val="221F1F"/>
          <w:sz w:val="21"/>
        </w:rPr>
        <w:t>DBEs.</w:t>
      </w:r>
    </w:p>
    <w:p w:rsidR="004D2E1D" w:rsidRDefault="004D2E1D" w:rsidP="004D2E1D">
      <w:pPr>
        <w:pStyle w:val="BodyText"/>
        <w:spacing w:before="10"/>
        <w:rPr>
          <w:sz w:val="20"/>
        </w:rPr>
      </w:pPr>
    </w:p>
    <w:p w:rsidR="004D2E1D" w:rsidRDefault="004D2E1D" w:rsidP="004D2E1D">
      <w:pPr>
        <w:pStyle w:val="BodyText"/>
        <w:ind w:left="100"/>
      </w:pPr>
      <w:r>
        <w:rPr>
          <w:color w:val="221F1F"/>
        </w:rPr>
        <w:t>Roger Wittenberg, the Director of Finance has been delegated as the DBE Liaison</w:t>
      </w:r>
    </w:p>
    <w:p w:rsidR="004D2E1D" w:rsidRDefault="004D2E1D" w:rsidP="004D2E1D">
      <w:pPr>
        <w:pStyle w:val="BodyText"/>
        <w:spacing w:before="1"/>
        <w:ind w:left="100" w:right="230"/>
      </w:pPr>
      <w:r>
        <w:rPr>
          <w:color w:val="221F1F"/>
        </w:rPr>
        <w:t xml:space="preserve">Officer. In that capacity, the Director of Finance is responsible for implementing all aspects of the DBE program. Implementation of the DBE program is afforded the same priority as compliance with all other legal obligations incurred by Votran in its financial assistance agreements with the Department of Transportation. Mr. Wittenberg is located at 950 Big Tree Road, South Daytona, Florida 32119, (386) 756-7496, email: </w:t>
      </w:r>
      <w:hyperlink r:id="rId8">
        <w:r>
          <w:rPr>
            <w:color w:val="0562C1"/>
            <w:u w:val="single" w:color="0562C1"/>
          </w:rPr>
          <w:t>rwittenberg@volusia.org</w:t>
        </w:r>
      </w:hyperlink>
    </w:p>
    <w:p w:rsidR="004D2E1D" w:rsidRDefault="004D2E1D" w:rsidP="004D2E1D">
      <w:pPr>
        <w:pStyle w:val="BodyText"/>
        <w:spacing w:before="9"/>
        <w:rPr>
          <w:sz w:val="12"/>
        </w:rPr>
      </w:pPr>
    </w:p>
    <w:p w:rsidR="004D2E1D" w:rsidRPr="004D2E1D" w:rsidRDefault="004D2E1D" w:rsidP="004D2E1D">
      <w:pPr>
        <w:pStyle w:val="BodyText"/>
        <w:spacing w:before="95"/>
        <w:ind w:left="100" w:right="977"/>
      </w:pPr>
      <w:r w:rsidRPr="004D2E1D">
        <w:rPr>
          <w:color w:val="221F1F"/>
        </w:rPr>
        <w:t>The Votran General Manager, shall be for the DBE program purposes, the Reconsideration Official, and is located at 950 Big Tree Road, South Daytona, Florida 32119.</w:t>
      </w:r>
    </w:p>
    <w:p w:rsidR="000106FE" w:rsidRPr="004D2E1D" w:rsidRDefault="000106FE" w:rsidP="004D2E1D">
      <w:pPr>
        <w:jc w:val="left"/>
        <w:rPr>
          <w:rFonts w:ascii="Arial" w:hAnsi="Arial" w:cs="Arial"/>
          <w:sz w:val="21"/>
          <w:szCs w:val="21"/>
        </w:rPr>
      </w:pPr>
    </w:p>
    <w:p w:rsidR="004D2E1D" w:rsidRDefault="004D2E1D" w:rsidP="004D2E1D">
      <w:pPr>
        <w:ind w:right="0"/>
        <w:jc w:val="left"/>
        <w:rPr>
          <w:rFonts w:ascii="Arial" w:hAnsi="Arial" w:cs="Arial"/>
          <w:color w:val="221F1F"/>
          <w:sz w:val="21"/>
          <w:szCs w:val="21"/>
        </w:rPr>
      </w:pPr>
      <w:r w:rsidRPr="004D2E1D">
        <w:rPr>
          <w:rFonts w:ascii="Arial" w:hAnsi="Arial" w:cs="Arial"/>
          <w:color w:val="221F1F"/>
          <w:sz w:val="21"/>
          <w:szCs w:val="21"/>
        </w:rPr>
        <w:t>Votran will disseminate this policy statement to all of the components of our organization. We have distributed this statement to DBE and non-DBE business communities that perform work for us on</w:t>
      </w:r>
      <w:r>
        <w:rPr>
          <w:rFonts w:ascii="Arial" w:hAnsi="Arial" w:cs="Arial"/>
          <w:color w:val="221F1F"/>
          <w:sz w:val="21"/>
          <w:szCs w:val="21"/>
        </w:rPr>
        <w:t xml:space="preserve"> DOT-assisted contracts.  This policy will be posted on the Votran Website.</w:t>
      </w:r>
    </w:p>
    <w:p w:rsidR="004D2E1D" w:rsidRDefault="004D2E1D" w:rsidP="004D2E1D">
      <w:pPr>
        <w:ind w:right="0"/>
        <w:jc w:val="left"/>
        <w:rPr>
          <w:rFonts w:ascii="Arial" w:hAnsi="Arial" w:cs="Arial"/>
          <w:color w:val="221F1F"/>
          <w:sz w:val="21"/>
          <w:szCs w:val="21"/>
        </w:rPr>
      </w:pPr>
    </w:p>
    <w:p w:rsidR="004D2E1D" w:rsidRDefault="004D2E1D" w:rsidP="004D2E1D">
      <w:pPr>
        <w:ind w:right="0"/>
        <w:jc w:val="left"/>
        <w:rPr>
          <w:rFonts w:ascii="Arial" w:hAnsi="Arial" w:cs="Arial"/>
          <w:color w:val="221F1F"/>
          <w:sz w:val="21"/>
          <w:szCs w:val="21"/>
        </w:rPr>
      </w:pPr>
      <w:r w:rsidRPr="00D95468">
        <w:rPr>
          <w:rFonts w:ascii="Arial" w:hAnsi="Arial" w:cs="Arial"/>
          <w:color w:val="221F1F"/>
          <w:sz w:val="21"/>
          <w:szCs w:val="21"/>
          <w:u w:val="single"/>
        </w:rPr>
        <w:t>_</w:t>
      </w:r>
      <w:r w:rsidR="00D95468" w:rsidRPr="00D95468">
        <w:rPr>
          <w:rFonts w:ascii="Arial" w:hAnsi="Arial" w:cs="Arial"/>
          <w:color w:val="221F1F"/>
          <w:sz w:val="21"/>
          <w:szCs w:val="21"/>
          <w:u w:val="single"/>
        </w:rPr>
        <w:t>Signature on File_________</w:t>
      </w:r>
      <w:r w:rsidRPr="00D95468">
        <w:rPr>
          <w:rFonts w:ascii="Arial" w:hAnsi="Arial" w:cs="Arial"/>
          <w:color w:val="221F1F"/>
          <w:sz w:val="21"/>
          <w:szCs w:val="21"/>
          <w:u w:val="single"/>
        </w:rPr>
        <w:t>___</w:t>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r>
      <w:bookmarkStart w:id="0" w:name="_GoBack"/>
      <w:r w:rsidR="00D95468" w:rsidRPr="00D95468">
        <w:rPr>
          <w:rFonts w:ascii="Arial" w:hAnsi="Arial" w:cs="Arial"/>
          <w:color w:val="221F1F"/>
          <w:sz w:val="21"/>
          <w:szCs w:val="21"/>
          <w:u w:val="single"/>
        </w:rPr>
        <w:t>August 20, 2020</w:t>
      </w:r>
      <w:bookmarkEnd w:id="0"/>
    </w:p>
    <w:p w:rsidR="004D2E1D" w:rsidRPr="00F06B32" w:rsidRDefault="004D2E1D" w:rsidP="00F06B32">
      <w:pPr>
        <w:ind w:right="0"/>
        <w:jc w:val="left"/>
        <w:rPr>
          <w:rFonts w:ascii="Arial" w:hAnsi="Arial" w:cs="Arial"/>
          <w:color w:val="221F1F"/>
          <w:sz w:val="21"/>
          <w:szCs w:val="21"/>
        </w:rPr>
      </w:pPr>
      <w:r>
        <w:rPr>
          <w:rFonts w:ascii="Arial" w:hAnsi="Arial" w:cs="Arial"/>
          <w:color w:val="221F1F"/>
          <w:sz w:val="21"/>
          <w:szCs w:val="21"/>
        </w:rPr>
        <w:t>Kelvin Miller, General Manager</w:t>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r>
      <w:r>
        <w:rPr>
          <w:rFonts w:ascii="Arial" w:hAnsi="Arial" w:cs="Arial"/>
          <w:color w:val="221F1F"/>
          <w:sz w:val="21"/>
          <w:szCs w:val="21"/>
        </w:rPr>
        <w:tab/>
        <w:t>Date</w:t>
      </w:r>
    </w:p>
    <w:sectPr w:rsidR="004D2E1D" w:rsidRPr="00F06B32" w:rsidSect="004D2E1D">
      <w:type w:val="continuous"/>
      <w:pgSz w:w="12240" w:h="15840"/>
      <w:pgMar w:top="450" w:right="1440" w:bottom="1440" w:left="1440" w:header="720" w:footer="720" w:gutter="0"/>
      <w:paperSrc w:first="15" w:other="15"/>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2CF9" w:rsidRDefault="00CC2CF9" w:rsidP="004D2E1D">
      <w:r>
        <w:separator/>
      </w:r>
    </w:p>
  </w:endnote>
  <w:endnote w:type="continuationSeparator" w:id="0">
    <w:p w:rsidR="00CC2CF9" w:rsidRDefault="00CC2CF9" w:rsidP="004D2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2CF9" w:rsidRDefault="00CC2CF9" w:rsidP="004D2E1D">
      <w:r>
        <w:separator/>
      </w:r>
    </w:p>
  </w:footnote>
  <w:footnote w:type="continuationSeparator" w:id="0">
    <w:p w:rsidR="00CC2CF9" w:rsidRDefault="00CC2CF9" w:rsidP="004D2E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4E6785"/>
    <w:multiLevelType w:val="hybridMultilevel"/>
    <w:tmpl w:val="4CACFC42"/>
    <w:lvl w:ilvl="0" w:tplc="3ACAE542">
      <w:start w:val="1"/>
      <w:numFmt w:val="decimal"/>
      <w:lvlText w:val="%1."/>
      <w:lvlJc w:val="left"/>
      <w:pPr>
        <w:ind w:left="820" w:hanging="360"/>
        <w:jc w:val="left"/>
      </w:pPr>
      <w:rPr>
        <w:rFonts w:ascii="Arial" w:eastAsia="Arial" w:hAnsi="Arial" w:cs="Arial" w:hint="default"/>
        <w:color w:val="221F1F"/>
        <w:w w:val="100"/>
        <w:sz w:val="21"/>
        <w:szCs w:val="21"/>
        <w:lang w:val="en-US" w:eastAsia="en-US" w:bidi="en-US"/>
      </w:rPr>
    </w:lvl>
    <w:lvl w:ilvl="1" w:tplc="C3589174">
      <w:numFmt w:val="bullet"/>
      <w:lvlText w:val="•"/>
      <w:lvlJc w:val="left"/>
      <w:pPr>
        <w:ind w:left="1694" w:hanging="360"/>
      </w:pPr>
      <w:rPr>
        <w:rFonts w:hint="default"/>
        <w:lang w:val="en-US" w:eastAsia="en-US" w:bidi="en-US"/>
      </w:rPr>
    </w:lvl>
    <w:lvl w:ilvl="2" w:tplc="9AFC2202">
      <w:numFmt w:val="bullet"/>
      <w:lvlText w:val="•"/>
      <w:lvlJc w:val="left"/>
      <w:pPr>
        <w:ind w:left="2568" w:hanging="360"/>
      </w:pPr>
      <w:rPr>
        <w:rFonts w:hint="default"/>
        <w:lang w:val="en-US" w:eastAsia="en-US" w:bidi="en-US"/>
      </w:rPr>
    </w:lvl>
    <w:lvl w:ilvl="3" w:tplc="13CA6E12">
      <w:numFmt w:val="bullet"/>
      <w:lvlText w:val="•"/>
      <w:lvlJc w:val="left"/>
      <w:pPr>
        <w:ind w:left="3442" w:hanging="360"/>
      </w:pPr>
      <w:rPr>
        <w:rFonts w:hint="default"/>
        <w:lang w:val="en-US" w:eastAsia="en-US" w:bidi="en-US"/>
      </w:rPr>
    </w:lvl>
    <w:lvl w:ilvl="4" w:tplc="1FDC96F8">
      <w:numFmt w:val="bullet"/>
      <w:lvlText w:val="•"/>
      <w:lvlJc w:val="left"/>
      <w:pPr>
        <w:ind w:left="4316" w:hanging="360"/>
      </w:pPr>
      <w:rPr>
        <w:rFonts w:hint="default"/>
        <w:lang w:val="en-US" w:eastAsia="en-US" w:bidi="en-US"/>
      </w:rPr>
    </w:lvl>
    <w:lvl w:ilvl="5" w:tplc="19AC53FE">
      <w:numFmt w:val="bullet"/>
      <w:lvlText w:val="•"/>
      <w:lvlJc w:val="left"/>
      <w:pPr>
        <w:ind w:left="5190" w:hanging="360"/>
      </w:pPr>
      <w:rPr>
        <w:rFonts w:hint="default"/>
        <w:lang w:val="en-US" w:eastAsia="en-US" w:bidi="en-US"/>
      </w:rPr>
    </w:lvl>
    <w:lvl w:ilvl="6" w:tplc="93164D26">
      <w:numFmt w:val="bullet"/>
      <w:lvlText w:val="•"/>
      <w:lvlJc w:val="left"/>
      <w:pPr>
        <w:ind w:left="6064" w:hanging="360"/>
      </w:pPr>
      <w:rPr>
        <w:rFonts w:hint="default"/>
        <w:lang w:val="en-US" w:eastAsia="en-US" w:bidi="en-US"/>
      </w:rPr>
    </w:lvl>
    <w:lvl w:ilvl="7" w:tplc="35E05F1E">
      <w:numFmt w:val="bullet"/>
      <w:lvlText w:val="•"/>
      <w:lvlJc w:val="left"/>
      <w:pPr>
        <w:ind w:left="6938" w:hanging="360"/>
      </w:pPr>
      <w:rPr>
        <w:rFonts w:hint="default"/>
        <w:lang w:val="en-US" w:eastAsia="en-US" w:bidi="en-US"/>
      </w:rPr>
    </w:lvl>
    <w:lvl w:ilvl="8" w:tplc="67140178">
      <w:numFmt w:val="bullet"/>
      <w:lvlText w:val="•"/>
      <w:lvlJc w:val="left"/>
      <w:pPr>
        <w:ind w:left="781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1D"/>
    <w:rsid w:val="000106FE"/>
    <w:rsid w:val="0033781B"/>
    <w:rsid w:val="004414BB"/>
    <w:rsid w:val="004D2E1D"/>
    <w:rsid w:val="005A58BA"/>
    <w:rsid w:val="00725789"/>
    <w:rsid w:val="00B4197D"/>
    <w:rsid w:val="00CC2CF9"/>
    <w:rsid w:val="00D95468"/>
    <w:rsid w:val="00F06B32"/>
    <w:rsid w:val="00FC7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206E0-1738-457F-8940-3B8DC1B9E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101" w:right="10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D2E1D"/>
    <w:pPr>
      <w:widowControl w:val="0"/>
      <w:autoSpaceDE w:val="0"/>
      <w:autoSpaceDN w:val="0"/>
      <w:ind w:left="0" w:right="0"/>
      <w:jc w:val="left"/>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4D2E1D"/>
    <w:rPr>
      <w:rFonts w:ascii="Arial" w:eastAsia="Arial" w:hAnsi="Arial" w:cs="Arial"/>
      <w:sz w:val="21"/>
      <w:szCs w:val="21"/>
      <w:lang w:bidi="en-US"/>
    </w:rPr>
  </w:style>
  <w:style w:type="paragraph" w:styleId="ListParagraph">
    <w:name w:val="List Paragraph"/>
    <w:basedOn w:val="Normal"/>
    <w:uiPriority w:val="1"/>
    <w:qFormat/>
    <w:rsid w:val="004D2E1D"/>
    <w:pPr>
      <w:widowControl w:val="0"/>
      <w:autoSpaceDE w:val="0"/>
      <w:autoSpaceDN w:val="0"/>
      <w:ind w:left="820" w:right="0" w:hanging="360"/>
      <w:jc w:val="left"/>
    </w:pPr>
    <w:rPr>
      <w:rFonts w:ascii="Arial" w:eastAsia="Arial" w:hAnsi="Arial" w:cs="Arial"/>
      <w:lang w:bidi="en-US"/>
    </w:rPr>
  </w:style>
  <w:style w:type="paragraph" w:styleId="Header">
    <w:name w:val="header"/>
    <w:basedOn w:val="Normal"/>
    <w:link w:val="HeaderChar"/>
    <w:uiPriority w:val="99"/>
    <w:unhideWhenUsed/>
    <w:rsid w:val="004D2E1D"/>
    <w:pPr>
      <w:tabs>
        <w:tab w:val="center" w:pos="4680"/>
        <w:tab w:val="right" w:pos="9360"/>
      </w:tabs>
    </w:pPr>
  </w:style>
  <w:style w:type="character" w:customStyle="1" w:styleId="HeaderChar">
    <w:name w:val="Header Char"/>
    <w:basedOn w:val="DefaultParagraphFont"/>
    <w:link w:val="Header"/>
    <w:uiPriority w:val="99"/>
    <w:rsid w:val="004D2E1D"/>
  </w:style>
  <w:style w:type="paragraph" w:styleId="Footer">
    <w:name w:val="footer"/>
    <w:basedOn w:val="Normal"/>
    <w:link w:val="FooterChar"/>
    <w:uiPriority w:val="99"/>
    <w:unhideWhenUsed/>
    <w:rsid w:val="004D2E1D"/>
    <w:pPr>
      <w:tabs>
        <w:tab w:val="center" w:pos="4680"/>
        <w:tab w:val="right" w:pos="9360"/>
      </w:tabs>
    </w:pPr>
  </w:style>
  <w:style w:type="character" w:customStyle="1" w:styleId="FooterChar">
    <w:name w:val="Footer Char"/>
    <w:basedOn w:val="DefaultParagraphFont"/>
    <w:link w:val="Footer"/>
    <w:uiPriority w:val="99"/>
    <w:rsid w:val="004D2E1D"/>
  </w:style>
  <w:style w:type="paragraph" w:styleId="BalloonText">
    <w:name w:val="Balloon Text"/>
    <w:basedOn w:val="Normal"/>
    <w:link w:val="BalloonTextChar"/>
    <w:uiPriority w:val="99"/>
    <w:semiHidden/>
    <w:unhideWhenUsed/>
    <w:rsid w:val="00F06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6B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wittenberg@volusia.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Votran</Company>
  <LinksUpToDate>false</LinksUpToDate>
  <CharactersWithSpaces>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Laham</dc:creator>
  <cp:keywords/>
  <dc:description/>
  <cp:lastModifiedBy>John Cotton</cp:lastModifiedBy>
  <cp:revision>2</cp:revision>
  <cp:lastPrinted>2020-08-20T15:37:00Z</cp:lastPrinted>
  <dcterms:created xsi:type="dcterms:W3CDTF">2020-08-25T14:28:00Z</dcterms:created>
  <dcterms:modified xsi:type="dcterms:W3CDTF">2020-08-25T14:28:00Z</dcterms:modified>
</cp:coreProperties>
</file>